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0F75E">
      <w:pPr>
        <w:pStyle w:val="2"/>
        <w:keepNext w:val="0"/>
        <w:keepLines w:val="0"/>
        <w:widowControl/>
        <w:suppressLineNumbers w:val="0"/>
        <w:jc w:val="right"/>
        <w:rPr>
          <w:rFonts w:hint="default" w:ascii="Arial" w:hAnsi="Arial" w:cs="Arial"/>
          <w:sz w:val="28"/>
          <w:szCs w:val="28"/>
        </w:rPr>
      </w:pPr>
      <w:bookmarkStart w:id="0" w:name="_GoBack"/>
      <w:bookmarkEnd w:id="0"/>
      <w:r>
        <w:rPr>
          <w:rFonts w:hint="default" w:ascii="Arial" w:hAnsi="Arial" w:cs="Arial"/>
          <w:sz w:val="28"/>
          <w:szCs w:val="28"/>
        </w:rPr>
        <w:t>人力资源咨询服务维保措施</w:t>
      </w:r>
    </w:p>
    <w:p w14:paraId="728223DD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一、长效支持保障</w:t>
      </w:r>
    </w:p>
    <w:p w14:paraId="57F0AFA1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eastAsia="宋体" w:cs="Arial"/>
          <w:kern w:val="0"/>
          <w:sz w:val="28"/>
          <w:szCs w:val="28"/>
          <w:lang w:val="en-US" w:eastAsia="zh-CN" w:bidi="ar"/>
        </w:rPr>
        <w:t>项目验收合格后，启动为期 10 个月的免费售后支持服务。配备资深人力资源顾问作为专属联系人，通过电话、邮件、企业微信等多渠道提供实时咨询服务，每月开展 1 次全面回访，重点跟进人力资源方案（如薪酬体系优化、绩效考核落地、人才梯队建设等）执行情况，针对岗位适配、员工激励、组织氛围建设等问题提供专业建议，结合甲方业务发展需求动态调整方案落地思路。</w:t>
      </w:r>
    </w:p>
    <w:p w14:paraId="13901A73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二、问题高效处置</w:t>
      </w:r>
    </w:p>
    <w:p w14:paraId="4530F49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响应时效要求：一般问题（如制度解读、流程操作疑问）2 个工作日内完成答复；复杂问题（如绩效考核争议处理、薪酬体系适配调整）4 个工作日内开展调研分析，出具书面解决方案；重大问题（如核心人才流失应对、组织架构适配优化）成立专项小组，3 个工作日内给出初步应对策略，后续定期同步进展，直至问题妥善解决。</w:t>
      </w:r>
    </w:p>
    <w:p w14:paraId="56FF560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问题跟踪评估：解决方案落地后，建立为期 1 个月的跟踪评估机制，收集甲方反馈及员工意见，动态优化方案细节，评估结束后出具效果评估报告，为甲方后续人力资源管理工作提供参考。</w:t>
      </w:r>
    </w:p>
    <w:p w14:paraId="5CF45E7E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三、知识传递与能力提升</w:t>
      </w:r>
    </w:p>
    <w:p w14:paraId="2A53DCE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工具与文档支持：交付《人力资源方案落地工具包》，包含薪酬核算模板、绩效考核表单、人才测评工具、员工培训课件等实用资料，配套详细使用说明，方便甲方直接应用于日常人力资源管理工作。</w:t>
      </w:r>
    </w:p>
    <w:p w14:paraId="620EA2B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分层培训辅导：为甲方人力资源团队及管理层提供 3 次专项培训，内容涵盖方案落地执行技巧、人力资源数据分析、员工关系管理、人才培养方法等；培训后开展 2 次小组辅导会，针对实际工作场景进行案例拆解与模拟演练；同时提供 1 对 1 咨询辅导服务，助力甲方团队将咨询成果转化为内生人力资源管理能力，推动方案长效落地。</w:t>
      </w:r>
    </w:p>
    <w:p w14:paraId="0D1F4D20">
      <w:pPr>
        <w:rPr>
          <w:rFonts w:hint="default" w:ascii="Arial" w:hAnsi="Arial" w:cs="Arial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25009B"/>
    <w:multiLevelType w:val="multilevel"/>
    <w:tmpl w:val="FF25009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4A37E712"/>
    <w:multiLevelType w:val="multilevel"/>
    <w:tmpl w:val="4A37E71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42AAC"/>
    <w:rsid w:val="210B4072"/>
    <w:rsid w:val="2314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670</Words>
  <Characters>671</Characters>
  <TotalTime>0</TotalTime>
  <ScaleCrop>false</ScaleCrop>
  <LinksUpToDate>false</LinksUpToDate>
  <CharactersWithSpaces>688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2020-06-16T20:37:42Z</dcterms:created>
  <dc:creator>None</dc:creator>
  <cp:lastModifiedBy>None</cp:lastModifiedBy>
  <dcterms:modified xsi:type="dcterms:W3CDTF">2020-06-16T20:37:42Z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2020-06-16T20:37:42Z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BF82F543D30044FFADE3D980190D757B_13</vt:lpwstr>
  </property>
</Properties>
</file>