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F1F8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合规咨询服务维保措施</w:t>
      </w:r>
    </w:p>
    <w:p w14:paraId="2B4D5C84">
      <w:pPr>
        <w:pStyle w:val="3"/>
        <w:keepNext w:val="0"/>
        <w:keepLines w:val="0"/>
        <w:widowControl/>
        <w:suppressLineNumbers w:val="0"/>
      </w:pPr>
      <w:r>
        <w:t>一、长效合规支持</w:t>
      </w:r>
    </w:p>
    <w:p w14:paraId="5E27C5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项目验收后，提供为期 10 个月的免费售后支持服务。组建合规咨询专属服务小组，包含合规专家、行业律师、政策研究员，建立 “一对一” 专属对接机制。通过每月 2 次线上沟通 + 1 次政策解读分享的方式，跟进合规方案（如合规制度搭建、流程优化、风险防控体系建设等）落地进度，实时解答甲方在政策理解、制度执行、风险识别等方面的疑问，同步推送最新合规政策变动分析及行业合规案例，帮助甲方及时调整合规策略，规避合规风险。</w:t>
      </w:r>
    </w:p>
    <w:p w14:paraId="53A6DF34">
      <w:pPr>
        <w:pStyle w:val="3"/>
        <w:keepNext w:val="0"/>
        <w:keepLines w:val="0"/>
        <w:widowControl/>
        <w:suppressLineNumbers w:val="0"/>
      </w:pPr>
      <w:r>
        <w:t>二、问题响应与解决机制</w:t>
      </w:r>
    </w:p>
    <w:p w14:paraId="24BF817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接到甲方需求后，一般合规问题（如制度细节解读、流程操作疑问）1 个工作日内给出明确答复；复杂合规问题（如跨业务线合规适配、合规风险应对）3 个工作日内完成调研分析，出具初步解决方案；重大合规问题（如政策变动导致合规方案重构、突发合规风险事件）24 小时内启动应急响应，成立专项攻坚小组，协调法律、政策等多方资源，每 3 个工作日向甲方同步处理进展，5 个工作日内出具正式书面解决方案及应对预案。所有问题均建立台账，记录全流程处理情况，解决方案落地后 10 个工作日内开展效果回访，确保合规需求得到充分满足。</w:t>
      </w:r>
    </w:p>
    <w:p w14:paraId="45200569">
      <w:pPr>
        <w:pStyle w:val="3"/>
        <w:keepNext w:val="0"/>
        <w:keepLines w:val="0"/>
        <w:widowControl/>
        <w:suppressLineNumbers w:val="0"/>
      </w:pPr>
      <w:r>
        <w:t>三、知识传递与能力建设</w:t>
      </w:r>
    </w:p>
    <w:p w14:paraId="160AAD5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交付时，同步提供《合规方案落地操作手册》《合规风险防控指南》《政策解读汇编》等专业资料，手册详细说明合规流程、责任划分、风险预警指标及应对措施。为甲方合规团队、管理层及核心业务骨干提供 3 次免费专项培训，内容涵盖合规方案核心逻辑、政策合规要点、风险识别与应对技巧、应急合规事件处理等；培训后组织案例研讨与实操考核，发放培训结业证书；同时提供 2 个月的培训后辅导服务，针对落地过程中的衍生问题提供即时支持，帮助甲方团队全面掌握合规管理核心知识与技能，提升企业合规管理水平。</w:t>
      </w:r>
    </w:p>
    <w:p w14:paraId="43BE028C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16E05"/>
    <w:rsid w:val="27A16E05"/>
    <w:rsid w:val="6AB7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714</Words>
  <Characters>717</Characters>
  <TotalTime>0</TotalTime>
  <ScaleCrop>false</ScaleCrop>
  <LinksUpToDate>false</LinksUpToDate>
  <CharactersWithSpaces>738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2025-04-12T19:15:31Z</dcterms:created>
  <dc:creator>None</dc:creator>
  <cp:lastModifiedBy>None</cp:lastModifiedBy>
  <dcterms:modified xsi:type="dcterms:W3CDTF">2025-04-12T19:15:31Z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2025-04-12T19:15:31Z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788C4FDA104C4D27A9C998E8740567C2_13</vt:lpwstr>
  </property>
</Properties>
</file>