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招投标风险防控</w:t>
      </w:r>
    </w:p>
    <w:p>
      <w:r>
        <w:t># 招投标风险防控
## 第一章 总则
### 第一条 目的
为加强公司招投标活动的风险管理，识别、评估和防控招投标过程中的各类风险，确保招投标活动依法合规、高效有序进行，结合公司实际情况，制定本办法。
### 第二条 适用范围
本办法适用于公司及所属各单位的工程建设、物资采购、服务采购等各类招投标活动的风险防控。
### 第三条 风险防控原则
1. 全面覆盖原则：覆盖招投标全过程的风险
2. 预防为主原则：注重风险的预防和控制
3. 分级管理原则：根据风险等级采取不同的防控措施
4. 持续改进原则：不断完善风险防控体系
## 第二章 风险识别
### 第四条 招标阶段风险
1. 决策风险：项目决策不科学、不合理
2. 计划风险：招标计划不周密、时间安排不合理
3. 文件风险：招标文件内容不完整、不规范
4. 资格审查风险：资格审查不严格，导致不符合条件的投标人参与投标
5. 信息发布风险：招标信息发布不及时、不规范
### 第五条 投标阶段风险
1. 投标文件风险：投标文件不符合要求，导致废标
2. 报价风险：报价不合理，影响中标或利润
3. 串通投标风险：投标人之间或投标人与招标人之间串通投标
4. 资质造假风险：投标人提供虚假资质证明
### 第六条 评标阶段风险
1. 评标委员会风险：评标委员会组成不符合规定，或评标委员不公正评标
2. 评标标准风险：评标标准不明确、不合理
3. 评标过程风险：评标过程不规范、不透明
4. 定标风险：定标过程不规范，或定标结果不公正
### 第七条 合同阶段风险
1. 合同签订风险：合同条款不完整、不规范
2. 合同履行风险：中标人不按照合同约定履行义务
3. 合同变更风险：合同变更不规范，导致纠纷
## 第三章 风险评估
### 第八条 风险评估内容
1. 风险发生的可能性
2. 风险影响的严重程度
3. 风险的可控性
### 第九条 风险等级划分
1. 重大风险：发生可能性高，影响严重，可控性差
2. 较大风险：发生可能性较高，影响较大，可控性一般
3. 一般风险：发生可能性较低，影响较小，可控性好
4. 轻微风险：发生可能性低，影响轻微，可控性好
### 第十条 风险评估程序
1. 收集风险信息
2. 识别风险因素
3. 评估风险等级
4. 制定风险防控措施
## 第四章 风险防控措施
### 第十一条 招标阶段风险防控
1. 建立科学的决策机制，确保项目决策合理
2. 制定详细的招标计划，合理安排时间
3. 规范招标文件编制，确保内容完整、准确
4. 严格资格审查，确保投标人符合条件
5. 规范招标信息发布，确保信息及时、准确
### 第十二条 投标阶段风险防控
1. 加强对投标人的资格审查，防止资质造假
2. 建立串通投标防范机制，防止投标人之间或投标人与招标人之间串通投标
3. 规范投标文件评审，确保评审公正、公平
4. 建立报价分析机制，防止不合理报价
### 第十三条 评标阶段风险防控
1. 规范评标委员会组成，确保评标委员符合规定
2. 制定明确、合理的评标标准
3. 规范评标过程，确保评标透明、公正
4. 建立定标审批机制，确保定标过程规范
### 第十四条 合同阶段风险防控
1. 规范合同签订，确保合同条款完整、准确
2. 加强合同履行监督，确保中标人按照合同约定履行义务
3. 规范合同变更，防止合同变更过程中出现纠纷
4. 建立合同纠纷处理机制，及时处理合同纠纷
## 第五章 监督检查
### 第十五条 监督检查内容
1. 风险防控措施的落实情况
2. 招投标活动的合规性
3. 风险事件的处理情况
### 第十六条 监督检查方式
1. 日常监督检查
2. 专项监督检查
3. 定期监督检查
### 第十七条 责任追究
对违反本办法规定，导致风险事件发生的单位和个人，按照有关规定追究责任。
## 第六章 附则
### 第十八条 解释权
本办法由公司风险管理部门负责解释。
### 第十九条 施行日期
本办法自发布之日起施行。
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2020-03-08T12:09:04Z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2020-03-08T12:09:04Z</dcterms:created>
  <cp:lastPrinted>2020-03-08T12:09:04Z</cp:lastPrinted>
</cp:coreProperties>
</file>