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E45C1">
      <w:pPr>
        <w:pStyle w:val="2"/>
        <w:keepNext w:val="0"/>
        <w:keepLines w:val="0"/>
        <w:widowControl/>
        <w:suppressLineNumbers w:val="0"/>
      </w:pPr>
      <w:bookmarkStart w:id="0" w:name="_GoBack"/>
      <w:bookmarkEnd w:id="0"/>
      <w:r>
        <w:t>教育行业咨询服务维保措施</w:t>
      </w:r>
    </w:p>
    <w:p w14:paraId="0B09ECA3">
      <w:pPr>
        <w:pStyle w:val="3"/>
        <w:keepNext w:val="0"/>
        <w:keepLines w:val="0"/>
        <w:widowControl/>
        <w:suppressLineNumbers w:val="0"/>
      </w:pPr>
      <w:r>
        <w:t>一、持续教育服务支持</w:t>
      </w:r>
    </w:p>
    <w:p w14:paraId="0F2E131F">
      <w:pPr>
        <w:keepNext w:val="0"/>
        <w:keepLines w:val="0"/>
        <w:widowControl/>
        <w:suppressLineNumbers w:val="0"/>
        <w:jc w:val="left"/>
      </w:pPr>
      <w:r>
        <w:rPr>
          <w:rFonts w:ascii="宋体" w:hAnsi="宋体" w:eastAsia="宋体" w:cs="宋体"/>
          <w:kern w:val="0"/>
          <w:sz w:val="24"/>
          <w:szCs w:val="24"/>
          <w:lang w:val="en-US" w:eastAsia="zh-CN" w:bidi="ar"/>
        </w:rPr>
        <w:t>项目验收合格后，提供为期 12 个月的免费售后支持服务。设立教育咨询专属服务通道，配备具备教育行业资深经验的顾问，通过电话、邮件、线上会议等多渠道提供实时咨询服务，每月开展 1 次全面回访，每季度进行 1 次线下走访，跟进教育咨询方案（如课程体系搭建、教学模式优化、学校管理升级、师资队伍建设等）执行情况。针对方案落地过程中出现的教学适配性问题、师生反馈应对、政策合规衔接等疑问提供专业建议，结合教育行业改革趋势及甲方办学特色动态优化落地策略。</w:t>
      </w:r>
    </w:p>
    <w:p w14:paraId="5131E22B">
      <w:pPr>
        <w:pStyle w:val="3"/>
        <w:keepNext w:val="0"/>
        <w:keepLines w:val="0"/>
        <w:widowControl/>
        <w:suppressLineNumbers w:val="0"/>
      </w:pPr>
      <w:r>
        <w:t>二、问题快速响应与解决</w:t>
      </w:r>
    </w:p>
    <w:p w14:paraId="08312249">
      <w:pPr>
        <w:keepNext w:val="0"/>
        <w:keepLines w:val="0"/>
        <w:widowControl/>
        <w:suppressLineNumbers w:val="0"/>
        <w:jc w:val="left"/>
      </w:pPr>
      <w:r>
        <w:rPr>
          <w:rFonts w:ascii="宋体" w:hAnsi="宋体" w:eastAsia="宋体" w:cs="宋体"/>
          <w:kern w:val="0"/>
          <w:sz w:val="24"/>
          <w:szCs w:val="24"/>
          <w:lang w:val="en-US" w:eastAsia="zh-CN" w:bidi="ar"/>
        </w:rPr>
        <w:t>接到甲方需求或问题反馈后，一般问题（如方案细节解读、操作流程疑问）2 个工作日内给出答复；复杂问题（如课程体系调整、教学效果提升、管理机制适配优化）4 个工作日内完成调研分析，收集师生及家长反馈，6 个工作日内出具书面解决方案及实施计划；重大问题（如政策变动导致方案重构、办学特色与咨询方案冲突）24 小时内启动应急响应，成立专项小组联合教育专家制定调整方案，每 3 个工作日向甲方同步进展，确保教育教学工作平稳推进。建立教育咨询问题数据库，对处理完毕的问题进行分类归档，形成可复用的教育行业解决方案库。</w:t>
      </w:r>
    </w:p>
    <w:p w14:paraId="4D2B6681">
      <w:pPr>
        <w:pStyle w:val="3"/>
        <w:keepNext w:val="0"/>
        <w:keepLines w:val="0"/>
        <w:widowControl/>
        <w:suppressLineNumbers w:val="0"/>
      </w:pPr>
      <w:r>
        <w:t>三、知识传递与能力赋能</w:t>
      </w:r>
    </w:p>
    <w:p w14:paraId="55B2ED81">
      <w:pPr>
        <w:keepNext w:val="0"/>
        <w:keepLines w:val="0"/>
        <w:widowControl/>
        <w:suppressLineNumbers w:val="0"/>
        <w:jc w:val="left"/>
      </w:pPr>
      <w:r>
        <w:rPr>
          <w:rFonts w:ascii="宋体" w:hAnsi="宋体" w:eastAsia="宋体" w:cs="宋体"/>
          <w:kern w:val="0"/>
          <w:sz w:val="24"/>
          <w:szCs w:val="24"/>
          <w:lang w:val="en-US" w:eastAsia="zh-CN" w:bidi="ar"/>
        </w:rPr>
        <w:t>交付《教育方案落地操作指南》《教学管理工具包》《教育政策合规手册》等专业资料，详细说明方案各环节操作要点、教学管理技巧、政策合规要求及应对方法。为甲方管理层、教学团队及行政管理人员提供 3 次专项培训，内容涵盖教育方案核心逻辑、教学模式创新实施、师资培养方法、教育风险管理等；培训后组织实战演练与答疑交流，发放培训证书；同时提供 3 个月的培训后辅导服务，针对甲方在实际教育教学及管理工作中遇到的问题提供个性化解决方案，帮助甲方团队掌握教育咨询核心能力，推动咨询成果深度融入办学全过程。</w:t>
      </w:r>
    </w:p>
    <w:p w14:paraId="02CD0818"/>
    <w:sectPr>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F202B"/>
    <w:rsid w:val="09C54BE2"/>
    <w:rsid w:val="2B7F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743</Words>
  <Characters>745</Characters>
  <TotalTime>0</TotalTime>
  <ScaleCrop>false</ScaleCrop>
  <LinksUpToDate>false</LinksUpToDate>
  <CharactersWithSpaces>761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2022-10-27T13:51:20Z</dcterms:created>
  <dc:creator>None</dc:creator>
  <cp:lastModifiedBy>None</cp:lastModifiedBy>
  <dcterms:modified xsi:type="dcterms:W3CDTF">2022-10-27T13:51:20Z</dcterms:modified>
  <dc:description>None</dc:description>
  <dc:title>None</dc:title>
  <dc:subject>None</dc:subject>
  <cp:category>None</cp:category>
  <cp:keywords>None</cp:keywords>
  <cp:contentStatus>None</cp:contentStatus>
  <dc:identifier>None</dc:identifier>
  <dc:language>None</dc:language>
  <cp:version>None</cp:version>
  <cp:lastPrinted>2022-10-27T13:51:20Z</cp:lastPrin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28B71B5089954C22B05C76D0B4D81128_13</vt:lpwstr>
  </property>
</Properties>
</file>