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6A488"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t>财务咨询服务维保措施</w:t>
      </w:r>
    </w:p>
    <w:p w14:paraId="4089469B">
      <w:pPr>
        <w:pStyle w:val="3"/>
        <w:keepNext w:val="0"/>
        <w:keepLines w:val="0"/>
        <w:widowControl/>
        <w:suppressLineNumbers w:val="0"/>
      </w:pPr>
      <w:r>
        <w:t>一、持续财务支持</w:t>
      </w:r>
    </w:p>
    <w:p w14:paraId="0310AE1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项目验收后，提供为期 8 个月的免费售后支持服务。组建财务咨询专属服务小组，包含注册会计师、税务专家、财务管控顾问，建立 “一对一” 专属对接机制。通过每月 2 次线上沟通 + 1 次财务数据复盘的方式，跟进财务方案（如财务管理体系搭建、成本核算优化、税务筹划落地、财务风险防控等）执行情况，实时解答甲方在财务制度执行、财务数据解读、税务政策适配、融资方案推进等方面的疑问，同步推送最新财税政策解读及行业财务管控案例，帮助甲方规避财务风险，提升财务管控水平。</w:t>
      </w:r>
    </w:p>
    <w:p w14:paraId="5FCD8067">
      <w:pPr>
        <w:pStyle w:val="3"/>
        <w:keepNext w:val="0"/>
        <w:keepLines w:val="0"/>
        <w:widowControl/>
        <w:suppressLineNumbers w:val="0"/>
      </w:pPr>
      <w:r>
        <w:t>二、问题响应与解决机制</w:t>
      </w:r>
    </w:p>
    <w:p w14:paraId="600C7EF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接到甲方需求后，一般财务问题（如制度细节咨询、流程操作疑问）1 个工作日内给出明确答复；复杂财务问题（如财务数据异常分析、税务筹划方案调整、跨部门财务协同障碍）3 个工作日内完成调研分析，出具初步解决方案；重大财务问题（如突发税务风险、财务体系适配性重大调整、融资受阻应对）24 小时内启动应急响应，成立专项小组协调财税、法律等资源，每 2 个工作日向甲方同步处理进展，5 个工作日内出具正式书面解决方案及应对预案。所有问题建立详细台账，记录处理全流程，解决方案落地后 10 个工作日内开展效果回访，确保财务需求得到全面满足。</w:t>
      </w:r>
    </w:p>
    <w:p w14:paraId="517F9122">
      <w:pPr>
        <w:pStyle w:val="3"/>
        <w:keepNext w:val="0"/>
        <w:keepLines w:val="0"/>
        <w:widowControl/>
        <w:suppressLineNumbers w:val="0"/>
      </w:pPr>
      <w:r>
        <w:t>三、知识传递与能力建设</w:t>
      </w:r>
    </w:p>
    <w:p w14:paraId="049B340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交付时，同步提供《财务方案落地操作手册》《财税风险防控指南》《财务数据分析教程》等专业资料，手册详细说明财务流程操作规范、税务申报要点、财务风险识别指标及应对措施。为甲方财务团队及管理层提供 3 次免费专项培训，内容涵盖财务方案核心逻辑、财务工具使用技巧、财税政策合规要点、财务风险管控方法等；培训后组织案例研讨与实操演练，发放培训证书；同时提供 2 个月的培训后辅导服务，针对落地过程中的衍生问题提供即时支持，帮助甲方团队全面掌握财务咨询核心知识与技能，实现财务咨询成果高效转化。</w:t>
      </w:r>
    </w:p>
    <w:p w14:paraId="5C62890F"/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2578A"/>
    <w:rsid w:val="40586404"/>
    <w:rsid w:val="5EC2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752</Words>
  <Characters>754</Characters>
  <TotalTime>0</TotalTime>
  <ScaleCrop>false</ScaleCrop>
  <LinksUpToDate>false</LinksUpToDate>
  <CharactersWithSpaces>775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2024-10-10T20:36:03Z</dcterms:created>
  <dc:creator>None</dc:creator>
  <cp:lastModifiedBy>None</cp:lastModifiedBy>
  <dcterms:modified xsi:type="dcterms:W3CDTF">2024-10-10T20:36:03Z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2024-10-10T20:36:03Z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82C5C15AA4F8430B922D43D0E86C8A93_13</vt:lpwstr>
  </property>
</Properties>
</file>