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5E12A">
      <w:pPr>
        <w:pStyle w:val="2"/>
        <w:keepNext w:val="0"/>
        <w:keepLines w:val="0"/>
        <w:widowControl/>
        <w:suppressLineNumbers w:val="0"/>
      </w:pPr>
      <w:bookmarkStart w:id="0" w:name="_GoBack"/>
      <w:bookmarkEnd w:id="0"/>
      <w:r>
        <w:t>跨境业务咨询服务维保措施</w:t>
      </w:r>
    </w:p>
    <w:p w14:paraId="55D55917">
      <w:pPr>
        <w:pStyle w:val="3"/>
        <w:keepNext w:val="0"/>
        <w:keepLines w:val="0"/>
        <w:widowControl/>
        <w:suppressLineNumbers w:val="0"/>
      </w:pPr>
      <w:r>
        <w:t>一、持续跨境支持</w:t>
      </w:r>
    </w:p>
    <w:p w14:paraId="4FDC646C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项目验收合格后，提供为期 12 个月的免费售后支持服务。设立跨境业务专属服务通道，配备具备跨境业务经验的资深顾问，通过电话、邮件、视频会议等多渠道提供实时咨询服务，每月开展 1 次全面回访，每季度进行 1 次跨境业务落地效果复盘。重点跟进跨境业务方案（如跨境物流规划、关税筹划、海外市场准入、跨境合规管理等）执行情况，针对汇率波动应对、海外供应商管理、跨境物流风险防控、国际政策适配等问题提供专业建议，结合海外市场动态优化落地策略。</w:t>
      </w:r>
    </w:p>
    <w:p w14:paraId="7C804753">
      <w:pPr>
        <w:pStyle w:val="3"/>
        <w:keepNext w:val="0"/>
        <w:keepLines w:val="0"/>
        <w:widowControl/>
        <w:suppressLineNumbers w:val="0"/>
      </w:pPr>
      <w:r>
        <w:t>二、问题快速响应与解决</w:t>
      </w:r>
    </w:p>
    <w:p w14:paraId="3BE72DE0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接到甲方需求或问题反馈后，一般问题（如方案细节咨询、流程操作疑问）2 个工作日内给出答复；复杂问题（如跨境业务流程适配调整、海外市场突发情况应对）4 个工作日内完成调研分析，出具书面解决方案及实施计划；重大问题（如跨境业务合作纠纷、国际政策重大变动影响）24 小时内启动应急响应，成立专项小组协调海外资源，制定应对策略，每 2 个工作日向甲方同步进展，确保跨境业务稳定推进。建立跨境业务问题数据库，对所有处理完毕的问题进行分类归档，形成可复用的知识库。</w:t>
      </w:r>
    </w:p>
    <w:p w14:paraId="77859CA3">
      <w:pPr>
        <w:pStyle w:val="3"/>
        <w:keepNext w:val="0"/>
        <w:keepLines w:val="0"/>
        <w:widowControl/>
        <w:suppressLineNumbers w:val="0"/>
      </w:pPr>
      <w:r>
        <w:t>三、知识传递与能力赋能</w:t>
      </w:r>
    </w:p>
    <w:p w14:paraId="16CE4B2B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交付《跨境业务方案落地操作指南》《海外市场风险防控手册》《跨境合规操作教程》等专业资料，详细说明跨境业务各环节操作要点、风险防控措施及应对方法。为甲方跨境业务团队及管理层提供 3 次专项培训，内容涵盖跨境方案核心逻辑、海外市场运营技巧、跨境物流与关税筹划、国际合规要点等；培训后组织实战演练与答疑交流，发放培训证书；同时提供 3 个月的培训后辅导服务，针对甲方在实际跨境业务中遇到的问题提供个性化解决方案，帮助甲方团队掌握跨境业务核心能力，实现咨询成果高效转化。</w:t>
      </w:r>
    </w:p>
    <w:p w14:paraId="0B2E6884"/>
    <w:sectPr>
      <w:pgSz w:w="11906" w:h="16838"/>
      <w:pgMar w:top="1440" w:right="1800" w:bottom="1440" w:left="1800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795E79"/>
    <w:rsid w:val="0F795E79"/>
    <w:rsid w:val="71E5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698</Words>
  <Characters>700</Characters>
  <TotalTime>0</TotalTime>
  <ScaleCrop>false</ScaleCrop>
  <LinksUpToDate>false</LinksUpToDate>
  <CharactersWithSpaces>715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2020-12-24T19:11:41Z</dcterms:created>
  <dc:creator>None</dc:creator>
  <cp:lastModifiedBy>None</cp:lastModifiedBy>
  <dcterms:modified xsi:type="dcterms:W3CDTF">2020-12-24T19:11:41Z</dcterms:modified>
  <dc:description>None</dc:description>
  <dc:title>None</dc:title>
  <dc:subject>None</dc:subject>
  <cp:category>None</cp:category>
  <cp:keywords>None</cp:keywords>
  <cp:contentStatus>None</cp:contentStatus>
  <dc:identifier>None</dc:identifier>
  <dc:language>None</dc:language>
  <cp:version>None</cp:version>
  <cp:lastPrinted>2020-12-24T19:11:41Z</cp:lastPrint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056CA1B972944A86AA788C9665BF09CD_13</vt:lpwstr>
  </property>
</Properties>
</file>